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Pr="003A4E33" w:rsidRDefault="008B365C">
      <w:pPr>
        <w:rPr>
          <w:sz w:val="24"/>
          <w:szCs w:val="24"/>
        </w:rPr>
      </w:pPr>
      <w:r w:rsidRPr="003A4E33">
        <w:rPr>
          <w:sz w:val="24"/>
          <w:szCs w:val="24"/>
        </w:rPr>
        <w:t>Valuing Mental Computation</w:t>
      </w:r>
    </w:p>
    <w:p w:rsidR="008B365C" w:rsidRPr="003A4E33" w:rsidRDefault="008B365C" w:rsidP="008B365C">
      <w:pPr>
        <w:pStyle w:val="Heading2"/>
        <w:rPr>
          <w:rFonts w:asciiTheme="minorHAnsi" w:hAnsiTheme="minorHAnsi"/>
          <w:sz w:val="24"/>
          <w:szCs w:val="24"/>
        </w:rPr>
      </w:pPr>
      <w:r w:rsidRPr="003A4E33">
        <w:rPr>
          <w:rFonts w:asciiTheme="minorHAnsi" w:hAnsiTheme="minorHAnsi" w:cs="Arial"/>
          <w:sz w:val="24"/>
          <w:szCs w:val="24"/>
        </w:rPr>
        <w:t>What is Mental Computation?</w:t>
      </w:r>
    </w:p>
    <w:p w:rsidR="008B365C" w:rsidRPr="003A4E33" w:rsidRDefault="008B365C" w:rsidP="008B365C">
      <w:pPr>
        <w:pStyle w:val="NormalWeb"/>
        <w:rPr>
          <w:rFonts w:asciiTheme="minorHAnsi" w:hAnsiTheme="minorHAnsi" w:cs="Arial"/>
        </w:rPr>
      </w:pPr>
      <w:r w:rsidRPr="003A4E33">
        <w:rPr>
          <w:rFonts w:asciiTheme="minorHAnsi" w:hAnsiTheme="minorHAnsi" w:cs="Arial"/>
        </w:rPr>
        <w:t xml:space="preserve">Whereas mental arithmetic traditionally focuses on speed and accuracy, mental computation has its emphasis on the processes used to achieve the answer. For example, think of how you could mentally work out how many 45 cent stamps you could buy for $10. </w:t>
      </w:r>
    </w:p>
    <w:tbl>
      <w:tblPr>
        <w:tblW w:w="4650" w:type="pct"/>
        <w:tblCellSpacing w:w="7" w:type="dxa"/>
        <w:tblCellMar>
          <w:left w:w="0" w:type="dxa"/>
          <w:right w:w="0" w:type="dxa"/>
        </w:tblCellMar>
        <w:tblLook w:val="04A0"/>
      </w:tblPr>
      <w:tblGrid>
        <w:gridCol w:w="4227"/>
        <w:gridCol w:w="4193"/>
      </w:tblGrid>
      <w:tr w:rsidR="008B365C" w:rsidRPr="008B365C">
        <w:trPr>
          <w:trHeight w:val="3315"/>
          <w:tblCellSpacing w:w="7" w:type="dxa"/>
        </w:trPr>
        <w:tc>
          <w:tcPr>
            <w:tcW w:w="0" w:type="auto"/>
            <w:vAlign w:val="center"/>
            <w:hideMark/>
          </w:tcPr>
          <w:p w:rsidR="008B365C" w:rsidRPr="008B365C" w:rsidRDefault="008B365C" w:rsidP="008B365C">
            <w:pPr>
              <w:spacing w:after="0" w:line="240" w:lineRule="auto"/>
              <w:rPr>
                <w:rFonts w:eastAsia="Times New Roman" w:cs="Times New Roman"/>
                <w:color w:val="003366"/>
                <w:sz w:val="24"/>
                <w:szCs w:val="24"/>
                <w:lang w:eastAsia="en-AU"/>
              </w:rPr>
            </w:pPr>
            <w:r w:rsidRPr="003A4E33">
              <w:rPr>
                <w:rFonts w:eastAsia="Times New Roman" w:cs="Times New Roman"/>
                <w:noProof/>
                <w:color w:val="003366"/>
                <w:sz w:val="24"/>
                <w:szCs w:val="24"/>
                <w:lang w:eastAsia="en-AU"/>
              </w:rPr>
              <w:drawing>
                <wp:inline distT="0" distB="0" distL="0" distR="0">
                  <wp:extent cx="2362200" cy="2352675"/>
                  <wp:effectExtent l="19050" t="0" r="0" b="0"/>
                  <wp:docPr id="1" name="Picture 1" descr="http://www.curriculumsupport.education.nsw.gov.au/vmco/images/eg_le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urriculumsupport.education.nsw.gov.au/vmco/images/eg_left.jpg"/>
                          <pic:cNvPicPr>
                            <a:picLocks noChangeAspect="1" noChangeArrowheads="1"/>
                          </pic:cNvPicPr>
                        </pic:nvPicPr>
                        <pic:blipFill>
                          <a:blip r:embed="rId5" cstate="print"/>
                          <a:srcRect/>
                          <a:stretch>
                            <a:fillRect/>
                          </a:stretch>
                        </pic:blipFill>
                        <pic:spPr bwMode="auto">
                          <a:xfrm>
                            <a:off x="0" y="0"/>
                            <a:ext cx="2362200" cy="2352675"/>
                          </a:xfrm>
                          <a:prstGeom prst="rect">
                            <a:avLst/>
                          </a:prstGeom>
                          <a:noFill/>
                          <a:ln w="9525">
                            <a:noFill/>
                            <a:miter lim="800000"/>
                            <a:headEnd/>
                            <a:tailEnd/>
                          </a:ln>
                        </pic:spPr>
                      </pic:pic>
                    </a:graphicData>
                  </a:graphic>
                </wp:inline>
              </w:drawing>
            </w:r>
          </w:p>
        </w:tc>
        <w:tc>
          <w:tcPr>
            <w:tcW w:w="0" w:type="auto"/>
            <w:vAlign w:val="center"/>
            <w:hideMark/>
          </w:tcPr>
          <w:p w:rsidR="008B365C" w:rsidRPr="008B365C" w:rsidRDefault="008B365C" w:rsidP="008B365C">
            <w:pPr>
              <w:spacing w:after="0" w:line="240" w:lineRule="auto"/>
              <w:rPr>
                <w:rFonts w:eastAsia="Times New Roman" w:cs="Times New Roman"/>
                <w:color w:val="003366"/>
                <w:sz w:val="24"/>
                <w:szCs w:val="24"/>
                <w:lang w:eastAsia="en-AU"/>
              </w:rPr>
            </w:pPr>
            <w:r w:rsidRPr="003A4E33">
              <w:rPr>
                <w:rFonts w:eastAsia="Times New Roman" w:cs="Times New Roman"/>
                <w:noProof/>
                <w:color w:val="003366"/>
                <w:sz w:val="24"/>
                <w:szCs w:val="24"/>
                <w:lang w:eastAsia="en-AU"/>
              </w:rPr>
              <w:drawing>
                <wp:inline distT="0" distB="0" distL="0" distR="0">
                  <wp:extent cx="2343150" cy="2333625"/>
                  <wp:effectExtent l="19050" t="0" r="0" b="0"/>
                  <wp:docPr id="2" name="Picture 2" descr="http://www.curriculumsupport.education.nsw.gov.au/vmco/images/e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urriculumsupport.education.nsw.gov.au/vmco/images/egr.jpg"/>
                          <pic:cNvPicPr>
                            <a:picLocks noChangeAspect="1" noChangeArrowheads="1"/>
                          </pic:cNvPicPr>
                        </pic:nvPicPr>
                        <pic:blipFill>
                          <a:blip r:embed="rId6" cstate="print"/>
                          <a:srcRect/>
                          <a:stretch>
                            <a:fillRect/>
                          </a:stretch>
                        </pic:blipFill>
                        <pic:spPr bwMode="auto">
                          <a:xfrm>
                            <a:off x="0" y="0"/>
                            <a:ext cx="2343150" cy="2333625"/>
                          </a:xfrm>
                          <a:prstGeom prst="rect">
                            <a:avLst/>
                          </a:prstGeom>
                          <a:noFill/>
                          <a:ln w="9525">
                            <a:noFill/>
                            <a:miter lim="800000"/>
                            <a:headEnd/>
                            <a:tailEnd/>
                          </a:ln>
                        </pic:spPr>
                      </pic:pic>
                    </a:graphicData>
                  </a:graphic>
                </wp:inline>
              </w:drawing>
            </w:r>
          </w:p>
        </w:tc>
      </w:tr>
      <w:tr w:rsidR="008B365C" w:rsidRPr="008B365C">
        <w:trPr>
          <w:tblCellSpacing w:w="7" w:type="dxa"/>
        </w:trPr>
        <w:tc>
          <w:tcPr>
            <w:tcW w:w="0" w:type="auto"/>
            <w:gridSpan w:val="2"/>
            <w:vAlign w:val="center"/>
            <w:hideMark/>
          </w:tcPr>
          <w:p w:rsidR="008B365C" w:rsidRPr="008B365C" w:rsidRDefault="008B365C" w:rsidP="008B365C">
            <w:pPr>
              <w:spacing w:after="0" w:line="240" w:lineRule="auto"/>
              <w:jc w:val="center"/>
              <w:rPr>
                <w:rFonts w:eastAsia="Times New Roman" w:cs="Times New Roman"/>
                <w:color w:val="003366"/>
                <w:sz w:val="24"/>
                <w:szCs w:val="24"/>
                <w:lang w:eastAsia="en-AU"/>
              </w:rPr>
            </w:pPr>
            <w:r w:rsidRPr="003A4E33">
              <w:rPr>
                <w:rFonts w:eastAsia="Times New Roman" w:cs="Times New Roman"/>
                <w:noProof/>
                <w:color w:val="003366"/>
                <w:sz w:val="24"/>
                <w:szCs w:val="24"/>
                <w:lang w:eastAsia="en-AU"/>
              </w:rPr>
              <w:drawing>
                <wp:inline distT="0" distB="0" distL="0" distR="0">
                  <wp:extent cx="3743325" cy="676275"/>
                  <wp:effectExtent l="19050" t="0" r="9525" b="0"/>
                  <wp:docPr id="3" name="Picture 3" descr="http://www.curriculumsupport.education.nsw.gov.au/vmco/images/neith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urriculumsupport.education.nsw.gov.au/vmco/images/neither.jpg"/>
                          <pic:cNvPicPr>
                            <a:picLocks noChangeAspect="1" noChangeArrowheads="1"/>
                          </pic:cNvPicPr>
                        </pic:nvPicPr>
                        <pic:blipFill>
                          <a:blip r:embed="rId7" cstate="print"/>
                          <a:srcRect/>
                          <a:stretch>
                            <a:fillRect/>
                          </a:stretch>
                        </pic:blipFill>
                        <pic:spPr bwMode="auto">
                          <a:xfrm>
                            <a:off x="0" y="0"/>
                            <a:ext cx="3743325" cy="676275"/>
                          </a:xfrm>
                          <a:prstGeom prst="rect">
                            <a:avLst/>
                          </a:prstGeom>
                          <a:noFill/>
                          <a:ln w="9525">
                            <a:noFill/>
                            <a:miter lim="800000"/>
                            <a:headEnd/>
                            <a:tailEnd/>
                          </a:ln>
                        </pic:spPr>
                      </pic:pic>
                    </a:graphicData>
                  </a:graphic>
                </wp:inline>
              </w:drawing>
            </w:r>
          </w:p>
        </w:tc>
      </w:tr>
    </w:tbl>
    <w:p w:rsidR="008B365C" w:rsidRPr="008B365C" w:rsidRDefault="008B365C" w:rsidP="008B365C">
      <w:pPr>
        <w:spacing w:after="0" w:line="240" w:lineRule="auto"/>
        <w:rPr>
          <w:rFonts w:eastAsia="Times New Roman" w:cs="Times New Roman"/>
          <w:color w:val="003366"/>
          <w:sz w:val="24"/>
          <w:szCs w:val="24"/>
          <w:lang w:eastAsia="en-AU"/>
        </w:rPr>
      </w:pPr>
    </w:p>
    <w:p w:rsidR="008B365C" w:rsidRPr="003A4E33" w:rsidRDefault="008B365C" w:rsidP="008B365C">
      <w:pPr>
        <w:pStyle w:val="NormalWeb"/>
        <w:rPr>
          <w:rFonts w:asciiTheme="minorHAnsi" w:hAnsiTheme="minorHAnsi"/>
        </w:rPr>
      </w:pPr>
      <w:r w:rsidRPr="003A4E33">
        <w:rPr>
          <w:rFonts w:asciiTheme="minorHAnsi" w:hAnsiTheme="minorHAnsi" w:cs="Arial"/>
        </w:rPr>
        <w:t>As effective users of numbers we have developed our own way of solving number problems 'on the spot'. We have generally developed our mental computation strategies without formal instruction.</w:t>
      </w:r>
    </w:p>
    <w:p w:rsidR="008B365C" w:rsidRPr="003A4E33" w:rsidRDefault="008B365C" w:rsidP="008B365C">
      <w:pPr>
        <w:pStyle w:val="Heading1"/>
        <w:rPr>
          <w:rFonts w:asciiTheme="minorHAnsi" w:hAnsiTheme="minorHAnsi"/>
          <w:sz w:val="24"/>
          <w:szCs w:val="24"/>
        </w:rPr>
      </w:pPr>
      <w:r w:rsidRPr="003A4E33">
        <w:rPr>
          <w:rFonts w:asciiTheme="minorHAnsi" w:hAnsiTheme="minorHAnsi" w:cs="Arial"/>
          <w:sz w:val="24"/>
          <w:szCs w:val="24"/>
        </w:rPr>
        <w:t>Why teach mental computation?</w:t>
      </w:r>
    </w:p>
    <w:p w:rsidR="008B365C" w:rsidRPr="003A4E33" w:rsidRDefault="008B365C" w:rsidP="008B365C">
      <w:pPr>
        <w:pStyle w:val="NormalWeb"/>
        <w:rPr>
          <w:rFonts w:asciiTheme="minorHAnsi" w:hAnsiTheme="minorHAnsi"/>
        </w:rPr>
      </w:pPr>
      <w:r w:rsidRPr="003A4E33">
        <w:rPr>
          <w:rFonts w:asciiTheme="minorHAnsi" w:hAnsiTheme="minorHAnsi" w:cs="Arial"/>
        </w:rPr>
        <w:t>Mental computation is now recognised as an important form of computation. The importance can be summarised as follows:</w:t>
      </w:r>
    </w:p>
    <w:p w:rsidR="008B365C" w:rsidRPr="003A4E33" w:rsidRDefault="008B365C" w:rsidP="008B365C">
      <w:pPr>
        <w:numPr>
          <w:ilvl w:val="0"/>
          <w:numId w:val="3"/>
        </w:numPr>
        <w:spacing w:before="100" w:beforeAutospacing="1" w:after="100" w:afterAutospacing="1" w:line="240" w:lineRule="auto"/>
        <w:rPr>
          <w:sz w:val="24"/>
          <w:szCs w:val="24"/>
        </w:rPr>
      </w:pPr>
      <w:proofErr w:type="gramStart"/>
      <w:r w:rsidRPr="003A4E33">
        <w:rPr>
          <w:rFonts w:cs="Arial"/>
          <w:sz w:val="24"/>
          <w:szCs w:val="24"/>
        </w:rPr>
        <w:t>it</w:t>
      </w:r>
      <w:proofErr w:type="gramEnd"/>
      <w:r w:rsidRPr="003A4E33">
        <w:rPr>
          <w:rFonts w:cs="Arial"/>
          <w:sz w:val="24"/>
          <w:szCs w:val="24"/>
        </w:rPr>
        <w:t xml:space="preserve"> is the most common form of computation used by adults. </w:t>
      </w:r>
      <w:r w:rsidRPr="003A4E33">
        <w:rPr>
          <w:rFonts w:cs="Arial"/>
          <w:sz w:val="24"/>
          <w:szCs w:val="24"/>
        </w:rPr>
        <w:br/>
        <w:t>("85% of calculations done by adults in their daily life." McIntosh and Northcote 1998)</w:t>
      </w:r>
      <w:r w:rsidRPr="003A4E33">
        <w:rPr>
          <w:sz w:val="24"/>
          <w:szCs w:val="24"/>
        </w:rPr>
        <w:t xml:space="preserve"> </w:t>
      </w:r>
    </w:p>
    <w:p w:rsidR="008B365C" w:rsidRPr="003A4E33" w:rsidRDefault="008B365C" w:rsidP="008B365C">
      <w:pPr>
        <w:numPr>
          <w:ilvl w:val="0"/>
          <w:numId w:val="3"/>
        </w:numPr>
        <w:spacing w:before="100" w:beforeAutospacing="1" w:after="100" w:afterAutospacing="1" w:line="240" w:lineRule="auto"/>
        <w:rPr>
          <w:sz w:val="24"/>
          <w:szCs w:val="24"/>
        </w:rPr>
      </w:pPr>
      <w:r w:rsidRPr="003A4E33">
        <w:rPr>
          <w:rFonts w:cs="Arial"/>
          <w:sz w:val="24"/>
          <w:szCs w:val="24"/>
        </w:rPr>
        <w:t>it is used for estimation</w:t>
      </w:r>
      <w:r w:rsidRPr="003A4E33">
        <w:rPr>
          <w:sz w:val="24"/>
          <w:szCs w:val="24"/>
        </w:rPr>
        <w:t xml:space="preserve"> </w:t>
      </w:r>
    </w:p>
    <w:p w:rsidR="008B365C" w:rsidRPr="003A4E33" w:rsidRDefault="008B365C" w:rsidP="008B365C">
      <w:pPr>
        <w:numPr>
          <w:ilvl w:val="0"/>
          <w:numId w:val="3"/>
        </w:numPr>
        <w:spacing w:before="100" w:beforeAutospacing="1" w:after="100" w:afterAutospacing="1" w:line="240" w:lineRule="auto"/>
        <w:rPr>
          <w:sz w:val="24"/>
          <w:szCs w:val="24"/>
        </w:rPr>
      </w:pPr>
      <w:r w:rsidRPr="003A4E33">
        <w:rPr>
          <w:rFonts w:cs="Arial"/>
          <w:sz w:val="24"/>
          <w:szCs w:val="24"/>
        </w:rPr>
        <w:t>it is needed to check calculator answers</w:t>
      </w:r>
      <w:r w:rsidRPr="003A4E33">
        <w:rPr>
          <w:sz w:val="24"/>
          <w:szCs w:val="24"/>
        </w:rPr>
        <w:t xml:space="preserve"> </w:t>
      </w:r>
    </w:p>
    <w:p w:rsidR="008B365C" w:rsidRPr="003A4E33" w:rsidRDefault="008B365C" w:rsidP="008B365C">
      <w:pPr>
        <w:numPr>
          <w:ilvl w:val="0"/>
          <w:numId w:val="3"/>
        </w:numPr>
        <w:spacing w:before="100" w:beforeAutospacing="1" w:after="100" w:afterAutospacing="1" w:line="240" w:lineRule="auto"/>
        <w:rPr>
          <w:sz w:val="24"/>
          <w:szCs w:val="24"/>
        </w:rPr>
      </w:pPr>
      <w:r w:rsidRPr="003A4E33">
        <w:rPr>
          <w:rFonts w:cs="Arial"/>
          <w:sz w:val="24"/>
          <w:szCs w:val="24"/>
        </w:rPr>
        <w:t>students see it as an easy way of doing calculations</w:t>
      </w:r>
      <w:r w:rsidRPr="003A4E33">
        <w:rPr>
          <w:sz w:val="24"/>
          <w:szCs w:val="24"/>
        </w:rPr>
        <w:t xml:space="preserve"> </w:t>
      </w:r>
    </w:p>
    <w:p w:rsidR="008B365C" w:rsidRPr="003A4E33" w:rsidRDefault="008B365C" w:rsidP="008B365C">
      <w:pPr>
        <w:numPr>
          <w:ilvl w:val="0"/>
          <w:numId w:val="3"/>
        </w:numPr>
        <w:spacing w:before="100" w:beforeAutospacing="1" w:after="100" w:afterAutospacing="1" w:line="240" w:lineRule="auto"/>
        <w:rPr>
          <w:sz w:val="24"/>
          <w:szCs w:val="24"/>
        </w:rPr>
      </w:pPr>
      <w:r w:rsidRPr="003A4E33">
        <w:rPr>
          <w:rFonts w:cs="Arial"/>
          <w:sz w:val="24"/>
          <w:szCs w:val="24"/>
        </w:rPr>
        <w:t>it is an excellent way of learning how numbers work</w:t>
      </w:r>
      <w:r w:rsidRPr="003A4E33">
        <w:rPr>
          <w:sz w:val="24"/>
          <w:szCs w:val="24"/>
        </w:rPr>
        <w:t xml:space="preserve"> </w:t>
      </w:r>
    </w:p>
    <w:p w:rsidR="008B365C" w:rsidRPr="003A4E33" w:rsidRDefault="008B365C" w:rsidP="008B365C">
      <w:pPr>
        <w:numPr>
          <w:ilvl w:val="0"/>
          <w:numId w:val="3"/>
        </w:numPr>
        <w:spacing w:before="100" w:beforeAutospacing="1" w:after="100" w:afterAutospacing="1" w:line="240" w:lineRule="auto"/>
        <w:rPr>
          <w:sz w:val="24"/>
          <w:szCs w:val="24"/>
        </w:rPr>
      </w:pPr>
      <w:proofErr w:type="gramStart"/>
      <w:r w:rsidRPr="003A4E33">
        <w:rPr>
          <w:rFonts w:cs="Arial"/>
          <w:sz w:val="24"/>
          <w:szCs w:val="24"/>
        </w:rPr>
        <w:t>it</w:t>
      </w:r>
      <w:proofErr w:type="gramEnd"/>
      <w:r w:rsidRPr="003A4E33">
        <w:rPr>
          <w:rFonts w:cs="Arial"/>
          <w:sz w:val="24"/>
          <w:szCs w:val="24"/>
        </w:rPr>
        <w:t xml:space="preserve"> is a creative and problem solving approach to number.</w:t>
      </w:r>
      <w:r w:rsidRPr="003A4E33">
        <w:rPr>
          <w:sz w:val="24"/>
          <w:szCs w:val="24"/>
        </w:rPr>
        <w:t xml:space="preserve"> </w:t>
      </w:r>
    </w:p>
    <w:p w:rsidR="008B365C" w:rsidRPr="003A4E33" w:rsidRDefault="008B365C" w:rsidP="008B365C">
      <w:pPr>
        <w:spacing w:before="100" w:beforeAutospacing="1" w:after="100" w:afterAutospacing="1" w:line="240" w:lineRule="auto"/>
        <w:outlineLvl w:val="1"/>
        <w:rPr>
          <w:rFonts w:eastAsia="Times New Roman" w:cs="Arial"/>
          <w:b/>
          <w:bCs/>
          <w:color w:val="003366"/>
          <w:sz w:val="24"/>
          <w:szCs w:val="24"/>
          <w:lang w:eastAsia="en-AU"/>
        </w:rPr>
      </w:pPr>
    </w:p>
    <w:p w:rsidR="008B365C" w:rsidRPr="008B365C" w:rsidRDefault="008B365C" w:rsidP="008B365C">
      <w:pPr>
        <w:spacing w:before="100" w:beforeAutospacing="1" w:after="100" w:afterAutospacing="1" w:line="240" w:lineRule="auto"/>
        <w:outlineLvl w:val="1"/>
        <w:rPr>
          <w:rFonts w:eastAsia="Times New Roman" w:cs="Times New Roman"/>
          <w:b/>
          <w:bCs/>
          <w:color w:val="003366"/>
          <w:sz w:val="24"/>
          <w:szCs w:val="24"/>
          <w:lang w:eastAsia="en-AU"/>
        </w:rPr>
      </w:pPr>
      <w:r w:rsidRPr="008B365C">
        <w:rPr>
          <w:rFonts w:eastAsia="Times New Roman" w:cs="Arial"/>
          <w:b/>
          <w:bCs/>
          <w:color w:val="003366"/>
          <w:sz w:val="24"/>
          <w:szCs w:val="24"/>
          <w:lang w:eastAsia="en-AU"/>
        </w:rPr>
        <w:lastRenderedPageBreak/>
        <w:t>What to do in the classroom: Activity 1</w:t>
      </w:r>
    </w:p>
    <w:p w:rsidR="008B365C" w:rsidRPr="008B365C" w:rsidRDefault="008B365C" w:rsidP="008B365C">
      <w:pPr>
        <w:spacing w:before="100" w:beforeAutospacing="1" w:after="100" w:afterAutospacing="1" w:line="240" w:lineRule="auto"/>
        <w:rPr>
          <w:rFonts w:eastAsia="Times New Roman" w:cs="Times New Roman"/>
          <w:color w:val="003366"/>
          <w:sz w:val="24"/>
          <w:szCs w:val="24"/>
          <w:lang w:eastAsia="en-AU"/>
        </w:rPr>
      </w:pPr>
      <w:r w:rsidRPr="008B365C">
        <w:rPr>
          <w:rFonts w:eastAsia="Times New Roman" w:cs="Arial"/>
          <w:color w:val="003366"/>
          <w:sz w:val="24"/>
          <w:szCs w:val="24"/>
          <w:lang w:eastAsia="en-AU"/>
        </w:rPr>
        <w:t xml:space="preserve">Explain to your students (any age group) that you are going to ask a question you want them to do in their heads. You do not want any answers for at least 45 seconds but after that time, you will ask not for the answer but for the method they used to arrive at their answer. </w:t>
      </w:r>
      <w:r w:rsidRPr="008B365C">
        <w:rPr>
          <w:rFonts w:eastAsia="Times New Roman" w:cs="Arial"/>
          <w:color w:val="003366"/>
          <w:sz w:val="24"/>
          <w:szCs w:val="24"/>
          <w:lang w:eastAsia="en-AU"/>
        </w:rPr>
        <w:br/>
      </w:r>
      <w:r w:rsidRPr="008B365C">
        <w:rPr>
          <w:rFonts w:eastAsia="Times New Roman" w:cs="Arial"/>
          <w:color w:val="003366"/>
          <w:sz w:val="24"/>
          <w:szCs w:val="24"/>
          <w:lang w:eastAsia="en-AU"/>
        </w:rPr>
        <w:br/>
      </w:r>
      <w:proofErr w:type="gramStart"/>
      <w:r w:rsidRPr="008B365C">
        <w:rPr>
          <w:rFonts w:eastAsia="Times New Roman" w:cs="Arial"/>
          <w:color w:val="003366"/>
          <w:sz w:val="24"/>
          <w:szCs w:val="24"/>
          <w:lang w:eastAsia="en-AU"/>
        </w:rPr>
        <w:t>The first question.</w:t>
      </w:r>
      <w:proofErr w:type="gramEnd"/>
      <w:r w:rsidRPr="008B365C">
        <w:rPr>
          <w:rFonts w:eastAsia="Times New Roman" w:cs="Arial"/>
          <w:color w:val="003366"/>
          <w:sz w:val="24"/>
          <w:szCs w:val="24"/>
          <w:lang w:eastAsia="en-AU"/>
        </w:rPr>
        <w:t xml:space="preserve"> Ask the students to think about “What do 56 and 25 add up to?” If you want to write the numbers on the board please do this horizontally: 56 + 25. Vertical form can encourage an algorithmic method.</w:t>
      </w:r>
      <w:r w:rsidRPr="008B365C">
        <w:rPr>
          <w:rFonts w:eastAsia="Times New Roman" w:cs="Arial"/>
          <w:color w:val="003366"/>
          <w:sz w:val="24"/>
          <w:szCs w:val="24"/>
          <w:lang w:eastAsia="en-AU"/>
        </w:rPr>
        <w:br/>
      </w:r>
      <w:r w:rsidRPr="008B365C">
        <w:rPr>
          <w:rFonts w:eastAsia="Times New Roman" w:cs="Arial"/>
          <w:color w:val="003366"/>
          <w:sz w:val="24"/>
          <w:szCs w:val="24"/>
          <w:lang w:eastAsia="en-AU"/>
        </w:rPr>
        <w:br/>
        <w:t xml:space="preserve">Ask for a student to volunteer a method. Record this on the board with the student’s name. Ask how many used that method and then “did </w:t>
      </w:r>
      <w:proofErr w:type="spellStart"/>
      <w:r w:rsidRPr="008B365C">
        <w:rPr>
          <w:rFonts w:eastAsia="Times New Roman" w:cs="Arial"/>
          <w:color w:val="003366"/>
          <w:sz w:val="24"/>
          <w:szCs w:val="24"/>
          <w:lang w:eastAsia="en-AU"/>
        </w:rPr>
        <w:t>any one</w:t>
      </w:r>
      <w:proofErr w:type="spellEnd"/>
      <w:r w:rsidRPr="008B365C">
        <w:rPr>
          <w:rFonts w:eastAsia="Times New Roman" w:cs="Arial"/>
          <w:color w:val="003366"/>
          <w:sz w:val="24"/>
          <w:szCs w:val="24"/>
          <w:lang w:eastAsia="en-AU"/>
        </w:rPr>
        <w:t xml:space="preserve"> do it differently?” Continue until you have exhausted the methods. Lead a brief discussion on whether any one way was better than another for </w:t>
      </w:r>
      <w:r w:rsidRPr="008B365C">
        <w:rPr>
          <w:rFonts w:eastAsia="Times New Roman" w:cs="Arial"/>
          <w:b/>
          <w:bCs/>
          <w:color w:val="003366"/>
          <w:sz w:val="24"/>
          <w:szCs w:val="24"/>
          <w:lang w:eastAsia="en-AU"/>
        </w:rPr>
        <w:t>this particular question</w:t>
      </w:r>
      <w:r w:rsidRPr="008B365C">
        <w:rPr>
          <w:rFonts w:eastAsia="Times New Roman" w:cs="Arial"/>
          <w:color w:val="003366"/>
          <w:sz w:val="24"/>
          <w:szCs w:val="24"/>
          <w:lang w:eastAsia="en-AU"/>
        </w:rPr>
        <w:t>. Try not to endorse one method over another.</w:t>
      </w:r>
    </w:p>
    <w:p w:rsidR="008B365C" w:rsidRPr="008B365C" w:rsidRDefault="008B365C" w:rsidP="008B365C">
      <w:pPr>
        <w:spacing w:before="100" w:beforeAutospacing="1" w:after="100" w:afterAutospacing="1" w:line="240" w:lineRule="auto"/>
        <w:outlineLvl w:val="1"/>
        <w:rPr>
          <w:rFonts w:eastAsia="Times New Roman" w:cs="Times New Roman"/>
          <w:b/>
          <w:bCs/>
          <w:color w:val="003366"/>
          <w:sz w:val="24"/>
          <w:szCs w:val="24"/>
          <w:lang w:eastAsia="en-AU"/>
        </w:rPr>
      </w:pPr>
      <w:r w:rsidRPr="008B365C">
        <w:rPr>
          <w:rFonts w:eastAsia="Times New Roman" w:cs="Arial"/>
          <w:b/>
          <w:bCs/>
          <w:color w:val="003366"/>
          <w:sz w:val="24"/>
          <w:szCs w:val="24"/>
          <w:lang w:eastAsia="en-AU"/>
        </w:rPr>
        <w:t>Common methods you might expect from your students</w:t>
      </w:r>
    </w:p>
    <w:p w:rsidR="008B365C" w:rsidRPr="008B365C" w:rsidRDefault="008B365C" w:rsidP="008B365C">
      <w:pPr>
        <w:spacing w:before="100" w:beforeAutospacing="1" w:after="100" w:afterAutospacing="1" w:line="240" w:lineRule="auto"/>
        <w:rPr>
          <w:rFonts w:eastAsia="Times New Roman" w:cs="Times New Roman"/>
          <w:color w:val="003366"/>
          <w:sz w:val="24"/>
          <w:szCs w:val="24"/>
          <w:lang w:eastAsia="en-AU"/>
        </w:rPr>
      </w:pPr>
      <w:r w:rsidRPr="008B365C">
        <w:rPr>
          <w:rFonts w:eastAsia="Times New Roman" w:cs="Arial"/>
          <w:color w:val="003366"/>
          <w:sz w:val="24"/>
          <w:szCs w:val="24"/>
          <w:lang w:eastAsia="en-AU"/>
        </w:rPr>
        <w:t>Once a student has mastered counting on by ones they are ready to move to more facile strategies. Sharing the mental computation strategies in a whole class situation will facilitate the gathering of methods as well as assisting students to give a clear argument for their mathematical reasoning.</w:t>
      </w:r>
      <w:r w:rsidRPr="008B365C">
        <w:rPr>
          <w:rFonts w:eastAsia="Times New Roman" w:cs="Arial"/>
          <w:color w:val="003366"/>
          <w:sz w:val="24"/>
          <w:szCs w:val="24"/>
          <w:lang w:eastAsia="en-AU"/>
        </w:rPr>
        <w:br/>
      </w:r>
      <w:r w:rsidRPr="008B365C">
        <w:rPr>
          <w:rFonts w:eastAsia="Times New Roman" w:cs="Arial"/>
          <w:color w:val="003366"/>
          <w:sz w:val="24"/>
          <w:szCs w:val="24"/>
          <w:lang w:eastAsia="en-AU"/>
        </w:rPr>
        <w:br/>
        <w:t>When you listened to the strategies your students chose to use for 56 + 25, you may have seen the following:</w:t>
      </w:r>
    </w:p>
    <w:p w:rsidR="008B365C" w:rsidRPr="008B365C" w:rsidRDefault="008B365C" w:rsidP="008B365C">
      <w:pPr>
        <w:numPr>
          <w:ilvl w:val="0"/>
          <w:numId w:val="1"/>
        </w:numPr>
        <w:spacing w:before="100" w:beforeAutospacing="1" w:after="100" w:afterAutospacing="1" w:line="240" w:lineRule="auto"/>
        <w:rPr>
          <w:rFonts w:eastAsia="Times New Roman" w:cs="Times New Roman"/>
          <w:color w:val="003366"/>
          <w:sz w:val="24"/>
          <w:szCs w:val="24"/>
          <w:lang w:eastAsia="en-AU"/>
        </w:rPr>
      </w:pPr>
      <w:r w:rsidRPr="008B365C">
        <w:rPr>
          <w:rFonts w:eastAsia="Times New Roman" w:cs="Arial"/>
          <w:color w:val="003366"/>
          <w:sz w:val="24"/>
          <w:szCs w:val="24"/>
          <w:lang w:eastAsia="en-AU"/>
        </w:rPr>
        <w:t>one of the numbers is kept as a basis and the tens and ones of the second number added to the first</w:t>
      </w:r>
      <w:r w:rsidRPr="008B365C">
        <w:rPr>
          <w:rFonts w:eastAsia="Times New Roman" w:cs="Times New Roman"/>
          <w:color w:val="003366"/>
          <w:sz w:val="24"/>
          <w:szCs w:val="24"/>
          <w:lang w:eastAsia="en-AU"/>
        </w:rPr>
        <w:t xml:space="preserve"> </w:t>
      </w:r>
    </w:p>
    <w:p w:rsidR="008B365C" w:rsidRPr="008B365C" w:rsidRDefault="008B365C" w:rsidP="008B365C">
      <w:pPr>
        <w:numPr>
          <w:ilvl w:val="0"/>
          <w:numId w:val="1"/>
        </w:numPr>
        <w:spacing w:before="100" w:beforeAutospacing="1" w:after="100" w:afterAutospacing="1" w:line="240" w:lineRule="auto"/>
        <w:rPr>
          <w:rFonts w:eastAsia="Times New Roman" w:cs="Times New Roman"/>
          <w:color w:val="003366"/>
          <w:sz w:val="24"/>
          <w:szCs w:val="24"/>
          <w:lang w:eastAsia="en-AU"/>
        </w:rPr>
      </w:pPr>
      <w:r w:rsidRPr="008B365C">
        <w:rPr>
          <w:rFonts w:eastAsia="Times New Roman" w:cs="Arial"/>
          <w:color w:val="003366"/>
          <w:sz w:val="24"/>
          <w:szCs w:val="24"/>
          <w:lang w:eastAsia="en-AU"/>
        </w:rPr>
        <w:t>both numbers split into tens and ones, the tens and ones added separately and the answers recombined</w:t>
      </w:r>
      <w:r w:rsidRPr="008B365C">
        <w:rPr>
          <w:rFonts w:eastAsia="Times New Roman" w:cs="Times New Roman"/>
          <w:color w:val="003366"/>
          <w:sz w:val="24"/>
          <w:szCs w:val="24"/>
          <w:lang w:eastAsia="en-AU"/>
        </w:rPr>
        <w:t xml:space="preserve"> </w:t>
      </w:r>
    </w:p>
    <w:p w:rsidR="008B365C" w:rsidRPr="008B365C" w:rsidRDefault="008B365C" w:rsidP="008B365C">
      <w:pPr>
        <w:numPr>
          <w:ilvl w:val="0"/>
          <w:numId w:val="1"/>
        </w:numPr>
        <w:spacing w:before="100" w:beforeAutospacing="1" w:after="100" w:afterAutospacing="1" w:line="240" w:lineRule="auto"/>
        <w:rPr>
          <w:rFonts w:eastAsia="Times New Roman" w:cs="Times New Roman"/>
          <w:color w:val="003366"/>
          <w:sz w:val="24"/>
          <w:szCs w:val="24"/>
          <w:lang w:eastAsia="en-AU"/>
        </w:rPr>
      </w:pPr>
      <w:r w:rsidRPr="008B365C">
        <w:rPr>
          <w:rFonts w:eastAsia="Times New Roman" w:cs="Arial"/>
          <w:color w:val="003366"/>
          <w:sz w:val="24"/>
          <w:szCs w:val="24"/>
          <w:lang w:eastAsia="en-AU"/>
        </w:rPr>
        <w:t xml:space="preserve">the use of some known fact such as “I know 50 is twice 25 so 56 + 25 is like three 25s and 6” </w:t>
      </w:r>
    </w:p>
    <w:p w:rsidR="008B365C" w:rsidRPr="008B365C" w:rsidRDefault="008B365C" w:rsidP="008B365C">
      <w:pPr>
        <w:numPr>
          <w:ilvl w:val="0"/>
          <w:numId w:val="1"/>
        </w:numPr>
        <w:spacing w:before="100" w:beforeAutospacing="1" w:after="100" w:afterAutospacing="1" w:line="240" w:lineRule="auto"/>
        <w:rPr>
          <w:rFonts w:eastAsia="Times New Roman" w:cs="Times New Roman"/>
          <w:color w:val="003366"/>
          <w:sz w:val="24"/>
          <w:szCs w:val="24"/>
          <w:lang w:eastAsia="en-AU"/>
        </w:rPr>
      </w:pPr>
      <w:proofErr w:type="gramStart"/>
      <w:r w:rsidRPr="008B365C">
        <w:rPr>
          <w:rFonts w:eastAsia="Times New Roman" w:cs="Arial"/>
          <w:color w:val="003366"/>
          <w:sz w:val="24"/>
          <w:szCs w:val="24"/>
          <w:lang w:eastAsia="en-AU"/>
        </w:rPr>
        <w:t>bridging</w:t>
      </w:r>
      <w:proofErr w:type="gramEnd"/>
      <w:r w:rsidRPr="008B365C">
        <w:rPr>
          <w:rFonts w:eastAsia="Times New Roman" w:cs="Arial"/>
          <w:color w:val="003366"/>
          <w:sz w:val="24"/>
          <w:szCs w:val="24"/>
          <w:lang w:eastAsia="en-AU"/>
        </w:rPr>
        <w:t xml:space="preserve"> to the next ten </w:t>
      </w:r>
      <w:proofErr w:type="spellStart"/>
      <w:r w:rsidRPr="008B365C">
        <w:rPr>
          <w:rFonts w:eastAsia="Times New Roman" w:cs="Arial"/>
          <w:color w:val="003366"/>
          <w:sz w:val="24"/>
          <w:szCs w:val="24"/>
          <w:lang w:eastAsia="en-AU"/>
        </w:rPr>
        <w:t>eg</w:t>
      </w:r>
      <w:proofErr w:type="spellEnd"/>
      <w:r w:rsidRPr="008B365C">
        <w:rPr>
          <w:rFonts w:eastAsia="Times New Roman" w:cs="Arial"/>
          <w:color w:val="003366"/>
          <w:sz w:val="24"/>
          <w:szCs w:val="24"/>
          <w:lang w:eastAsia="en-AU"/>
        </w:rPr>
        <w:t xml:space="preserve"> “56 and 4 more is 60, and then I need another 21…”</w:t>
      </w:r>
      <w:r w:rsidRPr="008B365C">
        <w:rPr>
          <w:rFonts w:eastAsia="Times New Roman" w:cs="Times New Roman"/>
          <w:color w:val="003366"/>
          <w:sz w:val="24"/>
          <w:szCs w:val="24"/>
          <w:lang w:eastAsia="en-AU"/>
        </w:rPr>
        <w:t xml:space="preserve"> </w:t>
      </w:r>
    </w:p>
    <w:p w:rsidR="008B365C" w:rsidRPr="008B365C" w:rsidRDefault="008B365C" w:rsidP="008B365C">
      <w:pPr>
        <w:spacing w:before="100" w:beforeAutospacing="1" w:after="100" w:afterAutospacing="1" w:line="240" w:lineRule="auto"/>
        <w:rPr>
          <w:rFonts w:eastAsia="Times New Roman" w:cs="Times New Roman"/>
          <w:color w:val="003366"/>
          <w:sz w:val="24"/>
          <w:szCs w:val="24"/>
          <w:lang w:eastAsia="en-AU"/>
        </w:rPr>
      </w:pPr>
      <w:r w:rsidRPr="008B365C">
        <w:rPr>
          <w:rFonts w:eastAsia="Times New Roman" w:cs="Arial"/>
          <w:color w:val="003366"/>
          <w:sz w:val="24"/>
          <w:szCs w:val="24"/>
          <w:lang w:eastAsia="en-AU"/>
        </w:rPr>
        <w:t xml:space="preserve">Of course there may be other unusual strategies which may be prompted by the particular numbers in the question. Compensation methods where students add to one number and take away from the other, so that 6 + 8 may be thought of as the same as 7 + 7. When you try a subtraction question another family of responses come in to play. </w:t>
      </w:r>
    </w:p>
    <w:p w:rsidR="008B365C" w:rsidRPr="003A4E33" w:rsidRDefault="008B365C" w:rsidP="008B365C">
      <w:pPr>
        <w:pStyle w:val="Heading2"/>
        <w:rPr>
          <w:rFonts w:asciiTheme="minorHAnsi" w:hAnsiTheme="minorHAnsi"/>
          <w:sz w:val="24"/>
          <w:szCs w:val="24"/>
        </w:rPr>
      </w:pPr>
      <w:r w:rsidRPr="003A4E33">
        <w:rPr>
          <w:rFonts w:asciiTheme="minorHAnsi" w:hAnsiTheme="minorHAnsi" w:cs="Arial"/>
          <w:sz w:val="24"/>
          <w:szCs w:val="24"/>
        </w:rPr>
        <w:t>Jump or Split</w:t>
      </w:r>
    </w:p>
    <w:p w:rsidR="008B365C" w:rsidRPr="003A4E33" w:rsidRDefault="008B365C" w:rsidP="008B365C">
      <w:pPr>
        <w:pStyle w:val="NormalWeb"/>
        <w:rPr>
          <w:rFonts w:asciiTheme="minorHAnsi" w:hAnsiTheme="minorHAnsi"/>
        </w:rPr>
      </w:pPr>
      <w:r w:rsidRPr="003A4E33">
        <w:rPr>
          <w:rFonts w:asciiTheme="minorHAnsi" w:hAnsiTheme="minorHAnsi" w:cs="Arial"/>
        </w:rPr>
        <w:t>The two main groups of strategies used for mental computation of addition and subtraction questions are</w:t>
      </w:r>
      <w:proofErr w:type="gramStart"/>
      <w:r w:rsidRPr="003A4E33">
        <w:rPr>
          <w:rFonts w:asciiTheme="minorHAnsi" w:hAnsiTheme="minorHAnsi" w:cs="Arial"/>
        </w:rPr>
        <w:t>:</w:t>
      </w:r>
      <w:proofErr w:type="gramEnd"/>
      <w:r w:rsidRPr="003A4E33">
        <w:rPr>
          <w:rFonts w:asciiTheme="minorHAnsi" w:hAnsiTheme="minorHAnsi" w:cs="Arial"/>
        </w:rPr>
        <w:br/>
        <w:t>• the jump methods (</w:t>
      </w:r>
      <w:proofErr w:type="spellStart"/>
      <w:r w:rsidRPr="003A4E33">
        <w:rPr>
          <w:rFonts w:asciiTheme="minorHAnsi" w:hAnsiTheme="minorHAnsi" w:cs="Arial"/>
        </w:rPr>
        <w:t>Beishuizen</w:t>
      </w:r>
      <w:proofErr w:type="spellEnd"/>
      <w:r w:rsidRPr="003A4E33">
        <w:rPr>
          <w:rFonts w:asciiTheme="minorHAnsi" w:hAnsiTheme="minorHAnsi" w:cs="Arial"/>
        </w:rPr>
        <w:t>, 1993) where students build on from one of the numbers and</w:t>
      </w:r>
      <w:r w:rsidRPr="003A4E33">
        <w:rPr>
          <w:rFonts w:asciiTheme="minorHAnsi" w:hAnsiTheme="minorHAnsi" w:cs="Arial"/>
        </w:rPr>
        <w:br/>
        <w:t>• the split methods where students will partition both numbers into tens and ones (Cobb and Wheatley, 1988).</w:t>
      </w:r>
      <w:r w:rsidRPr="003A4E33">
        <w:rPr>
          <w:rFonts w:asciiTheme="minorHAnsi" w:hAnsiTheme="minorHAnsi" w:cs="Arial"/>
        </w:rPr>
        <w:br/>
      </w:r>
      <w:r w:rsidRPr="003A4E33">
        <w:rPr>
          <w:rFonts w:asciiTheme="minorHAnsi" w:hAnsiTheme="minorHAnsi" w:cs="Arial"/>
        </w:rPr>
        <w:lastRenderedPageBreak/>
        <w:br/>
        <w:t xml:space="preserve">The use of the jump method or the split method is often a function of the instructional sequence students have been through. Although weaker students have an observed preference for the split method, </w:t>
      </w:r>
      <w:proofErr w:type="spellStart"/>
      <w:r w:rsidRPr="003A4E33">
        <w:rPr>
          <w:rFonts w:asciiTheme="minorHAnsi" w:hAnsiTheme="minorHAnsi" w:cs="Arial"/>
        </w:rPr>
        <w:t>Beishuizen</w:t>
      </w:r>
      <w:proofErr w:type="spellEnd"/>
      <w:r w:rsidRPr="003A4E33">
        <w:rPr>
          <w:rFonts w:asciiTheme="minorHAnsi" w:hAnsiTheme="minorHAnsi" w:cs="Arial"/>
        </w:rPr>
        <w:t xml:space="preserve"> and </w:t>
      </w:r>
      <w:proofErr w:type="spellStart"/>
      <w:r w:rsidRPr="003A4E33">
        <w:rPr>
          <w:rFonts w:asciiTheme="minorHAnsi" w:hAnsiTheme="minorHAnsi" w:cs="Arial"/>
        </w:rPr>
        <w:t>Anghileri</w:t>
      </w:r>
      <w:proofErr w:type="spellEnd"/>
      <w:r w:rsidRPr="003A4E33">
        <w:rPr>
          <w:rFonts w:asciiTheme="minorHAnsi" w:hAnsiTheme="minorHAnsi" w:cs="Arial"/>
        </w:rPr>
        <w:t xml:space="preserve"> argue that this is because students initially find it difficult to increment by tens off the decade, such as 37, 47, 57…. Nevertheless, when encountering the more difficult 2-digit addition and subtraction questions requiring regrouping, students using the split method are more likely to make errors and to find it difficult to modify their strategies.</w:t>
      </w:r>
      <w:r w:rsidRPr="003A4E33">
        <w:rPr>
          <w:rFonts w:asciiTheme="minorHAnsi" w:hAnsiTheme="minorHAnsi" w:cs="Arial"/>
        </w:rPr>
        <w:br/>
      </w:r>
      <w:r w:rsidRPr="003A4E33">
        <w:rPr>
          <w:rFonts w:asciiTheme="minorHAnsi" w:hAnsiTheme="minorHAnsi" w:cs="Arial"/>
        </w:rPr>
        <w:br/>
        <w:t xml:space="preserve">We need to encourage students to move beyond a count by one method but there is no preference for teaching the students one facile method over another. Rather the value is in students being comfortable to use which-ever method is more efficient for the particular question. </w:t>
      </w:r>
    </w:p>
    <w:p w:rsidR="008B365C" w:rsidRPr="003A4E33" w:rsidRDefault="008B365C" w:rsidP="008B365C">
      <w:pPr>
        <w:pStyle w:val="Heading2"/>
        <w:rPr>
          <w:rFonts w:asciiTheme="minorHAnsi" w:hAnsiTheme="minorHAnsi"/>
          <w:sz w:val="24"/>
          <w:szCs w:val="24"/>
        </w:rPr>
      </w:pPr>
      <w:r w:rsidRPr="003A4E33">
        <w:rPr>
          <w:rFonts w:asciiTheme="minorHAnsi" w:hAnsiTheme="minorHAnsi" w:cs="Arial"/>
          <w:sz w:val="24"/>
          <w:szCs w:val="24"/>
        </w:rPr>
        <w:t>What to do in the classroom: Activity 2</w:t>
      </w:r>
    </w:p>
    <w:p w:rsidR="008B365C" w:rsidRPr="003A4E33" w:rsidRDefault="008B365C" w:rsidP="008B365C">
      <w:pPr>
        <w:pStyle w:val="NormalWeb"/>
        <w:rPr>
          <w:rFonts w:asciiTheme="minorHAnsi" w:hAnsiTheme="minorHAnsi"/>
        </w:rPr>
      </w:pPr>
      <w:r w:rsidRPr="003A4E33">
        <w:rPr>
          <w:rFonts w:asciiTheme="minorHAnsi" w:hAnsiTheme="minorHAnsi" w:cs="Arial"/>
        </w:rPr>
        <w:t xml:space="preserve">Repeat this process on another day and with another question. </w:t>
      </w:r>
    </w:p>
    <w:p w:rsidR="008B365C" w:rsidRPr="003A4E33" w:rsidRDefault="008B365C" w:rsidP="008B365C">
      <w:pPr>
        <w:pStyle w:val="NormalWeb"/>
        <w:rPr>
          <w:rFonts w:asciiTheme="minorHAnsi" w:hAnsiTheme="minorHAnsi"/>
        </w:rPr>
      </w:pPr>
      <w:r w:rsidRPr="003A4E33">
        <w:rPr>
          <w:rFonts w:asciiTheme="minorHAnsi" w:hAnsiTheme="minorHAnsi" w:cs="Arial"/>
        </w:rPr>
        <w:t xml:space="preserve">You may like to try a subtraction. </w:t>
      </w:r>
    </w:p>
    <w:p w:rsidR="008B365C" w:rsidRPr="003A4E33" w:rsidRDefault="008B365C" w:rsidP="008B365C">
      <w:pPr>
        <w:pStyle w:val="NormalWeb"/>
        <w:rPr>
          <w:rFonts w:asciiTheme="minorHAnsi" w:hAnsiTheme="minorHAnsi"/>
        </w:rPr>
      </w:pPr>
      <w:r w:rsidRPr="003A4E33">
        <w:rPr>
          <w:rFonts w:asciiTheme="minorHAnsi" w:hAnsiTheme="minorHAnsi" w:cs="Arial"/>
        </w:rPr>
        <w:t xml:space="preserve">Here are some questions you could choose from: </w:t>
      </w:r>
    </w:p>
    <w:p w:rsidR="008B365C" w:rsidRPr="003A4E33" w:rsidRDefault="008B365C" w:rsidP="008B365C">
      <w:pPr>
        <w:pStyle w:val="NormalWeb"/>
        <w:rPr>
          <w:rFonts w:asciiTheme="minorHAnsi" w:hAnsiTheme="minorHAnsi"/>
        </w:rPr>
      </w:pPr>
      <w:r w:rsidRPr="003A4E33">
        <w:rPr>
          <w:rFonts w:asciiTheme="minorHAnsi" w:hAnsiTheme="minorHAnsi" w:cs="Arial"/>
        </w:rPr>
        <w:t xml:space="preserve">65 + 38, 52 – 24, 27 + 19, 74 – 15, 169 + 14, 149 + 149, 299 – 51 </w:t>
      </w:r>
    </w:p>
    <w:p w:rsidR="008B365C" w:rsidRPr="003A4E33" w:rsidRDefault="008B365C" w:rsidP="008B365C">
      <w:pPr>
        <w:pStyle w:val="Heading1"/>
        <w:rPr>
          <w:rFonts w:asciiTheme="minorHAnsi" w:hAnsiTheme="minorHAnsi"/>
          <w:sz w:val="24"/>
          <w:szCs w:val="24"/>
        </w:rPr>
      </w:pPr>
      <w:r w:rsidRPr="003A4E33">
        <w:rPr>
          <w:rFonts w:asciiTheme="minorHAnsi" w:hAnsiTheme="minorHAnsi" w:cs="Arial"/>
          <w:sz w:val="24"/>
          <w:szCs w:val="24"/>
        </w:rPr>
        <w:t>What to do in the classroom: Activity 3</w:t>
      </w:r>
    </w:p>
    <w:p w:rsidR="008B365C" w:rsidRPr="003A4E33" w:rsidRDefault="008B365C" w:rsidP="008B365C">
      <w:pPr>
        <w:pStyle w:val="NormalWeb"/>
        <w:rPr>
          <w:rFonts w:asciiTheme="minorHAnsi" w:hAnsiTheme="minorHAnsi"/>
        </w:rPr>
      </w:pPr>
      <w:r w:rsidRPr="003A4E33">
        <w:rPr>
          <w:rFonts w:asciiTheme="minorHAnsi" w:hAnsiTheme="minorHAnsi" w:cs="Arial"/>
        </w:rPr>
        <w:br/>
        <w:t>If you feel students are still learning to express their strategies, try one or two more questions of a similar nature to those in activities one and two.</w:t>
      </w:r>
      <w:r w:rsidRPr="003A4E33">
        <w:rPr>
          <w:rFonts w:asciiTheme="minorHAnsi" w:hAnsiTheme="minorHAnsi" w:cs="Arial"/>
        </w:rPr>
        <w:br/>
      </w:r>
      <w:r w:rsidRPr="003A4E33">
        <w:rPr>
          <w:rFonts w:asciiTheme="minorHAnsi" w:hAnsiTheme="minorHAnsi" w:cs="Arial"/>
        </w:rPr>
        <w:br/>
        <w:t>If your students are really enjoying explaining methods, try extending the mental computation to include items such as:</w:t>
      </w:r>
    </w:p>
    <w:p w:rsidR="008B365C" w:rsidRPr="003A4E33" w:rsidRDefault="008B365C" w:rsidP="008B365C">
      <w:pPr>
        <w:numPr>
          <w:ilvl w:val="0"/>
          <w:numId w:val="2"/>
        </w:numPr>
        <w:spacing w:before="100" w:beforeAutospacing="1" w:after="100" w:afterAutospacing="1" w:line="240" w:lineRule="auto"/>
        <w:rPr>
          <w:sz w:val="24"/>
          <w:szCs w:val="24"/>
        </w:rPr>
      </w:pPr>
      <w:r w:rsidRPr="003A4E33">
        <w:rPr>
          <w:rFonts w:cs="Arial"/>
          <w:sz w:val="24"/>
          <w:szCs w:val="24"/>
        </w:rPr>
        <w:t>a three number addition e.g. 13 + 35 + 17</w:t>
      </w:r>
      <w:r w:rsidRPr="003A4E33">
        <w:rPr>
          <w:sz w:val="24"/>
          <w:szCs w:val="24"/>
        </w:rPr>
        <w:t xml:space="preserve"> </w:t>
      </w:r>
    </w:p>
    <w:p w:rsidR="008B365C" w:rsidRPr="003A4E33" w:rsidRDefault="008B365C" w:rsidP="008B365C">
      <w:pPr>
        <w:numPr>
          <w:ilvl w:val="0"/>
          <w:numId w:val="2"/>
        </w:numPr>
        <w:spacing w:before="100" w:beforeAutospacing="1" w:after="100" w:afterAutospacing="1" w:line="240" w:lineRule="auto"/>
        <w:rPr>
          <w:sz w:val="24"/>
          <w:szCs w:val="24"/>
        </w:rPr>
      </w:pPr>
      <w:r w:rsidRPr="003A4E33">
        <w:rPr>
          <w:rFonts w:cs="Arial"/>
          <w:sz w:val="24"/>
          <w:szCs w:val="24"/>
        </w:rPr>
        <w:t>a multiplication e.g. 199 X 4</w:t>
      </w:r>
      <w:r w:rsidRPr="003A4E33">
        <w:rPr>
          <w:sz w:val="24"/>
          <w:szCs w:val="24"/>
        </w:rPr>
        <w:t xml:space="preserve"> </w:t>
      </w:r>
    </w:p>
    <w:p w:rsidR="008B365C" w:rsidRPr="003A4E33" w:rsidRDefault="008B365C" w:rsidP="008B365C">
      <w:pPr>
        <w:numPr>
          <w:ilvl w:val="0"/>
          <w:numId w:val="2"/>
        </w:numPr>
        <w:spacing w:before="100" w:beforeAutospacing="1" w:after="100" w:afterAutospacing="1" w:line="240" w:lineRule="auto"/>
        <w:rPr>
          <w:sz w:val="24"/>
          <w:szCs w:val="24"/>
        </w:rPr>
      </w:pPr>
      <w:proofErr w:type="gramStart"/>
      <w:r w:rsidRPr="003A4E33">
        <w:rPr>
          <w:rFonts w:cs="Arial"/>
          <w:sz w:val="24"/>
          <w:szCs w:val="24"/>
        </w:rPr>
        <w:t>a</w:t>
      </w:r>
      <w:proofErr w:type="gramEnd"/>
      <w:r w:rsidRPr="003A4E33">
        <w:rPr>
          <w:rFonts w:cs="Arial"/>
          <w:sz w:val="24"/>
          <w:szCs w:val="24"/>
        </w:rPr>
        <w:t xml:space="preserve"> real life situation e.g. How many 45 cent stamps can you buy for $10.</w:t>
      </w:r>
      <w:r w:rsidRPr="003A4E33">
        <w:rPr>
          <w:sz w:val="24"/>
          <w:szCs w:val="24"/>
        </w:rPr>
        <w:t xml:space="preserve"> </w:t>
      </w:r>
    </w:p>
    <w:p w:rsidR="008B365C" w:rsidRPr="003A4E33" w:rsidRDefault="008B365C" w:rsidP="008B365C">
      <w:pPr>
        <w:pStyle w:val="NormalWeb"/>
        <w:rPr>
          <w:rFonts w:asciiTheme="minorHAnsi" w:hAnsiTheme="minorHAnsi"/>
        </w:rPr>
      </w:pPr>
      <w:r w:rsidRPr="003A4E33">
        <w:rPr>
          <w:rFonts w:asciiTheme="minorHAnsi" w:hAnsiTheme="minorHAnsi" w:cs="Arial"/>
        </w:rPr>
        <w:br/>
        <w:t xml:space="preserve">Remember in all of these situations we </w:t>
      </w:r>
      <w:proofErr w:type="gramStart"/>
      <w:r w:rsidRPr="003A4E33">
        <w:rPr>
          <w:rFonts w:asciiTheme="minorHAnsi" w:hAnsiTheme="minorHAnsi" w:cs="Arial"/>
        </w:rPr>
        <w:t xml:space="preserve">are </w:t>
      </w:r>
      <w:proofErr w:type="spellStart"/>
      <w:r w:rsidRPr="003A4E33">
        <w:rPr>
          <w:rFonts w:asciiTheme="minorHAnsi" w:hAnsiTheme="minorHAnsi" w:cs="Arial"/>
        </w:rPr>
        <w:t>wanting</w:t>
      </w:r>
      <w:proofErr w:type="spellEnd"/>
      <w:proofErr w:type="gramEnd"/>
      <w:r w:rsidRPr="003A4E33">
        <w:rPr>
          <w:rFonts w:asciiTheme="minorHAnsi" w:hAnsiTheme="minorHAnsi" w:cs="Arial"/>
        </w:rPr>
        <w:t xml:space="preserve"> to hear how the student worked the answer out without the use on pencil and paper.</w:t>
      </w:r>
    </w:p>
    <w:p w:rsidR="008B365C" w:rsidRDefault="008B365C">
      <w:hyperlink r:id="rId8" w:history="1">
        <w:r w:rsidRPr="00D9169E">
          <w:rPr>
            <w:rStyle w:val="Hyperlink"/>
          </w:rPr>
          <w:t>http://www.curriculumsupport.education.nsw.gov.au/secondary/mathematics/numeracy/mental/index.htm</w:t>
        </w:r>
      </w:hyperlink>
    </w:p>
    <w:p w:rsidR="003A4E33" w:rsidRDefault="003A4E33">
      <w:pPr>
        <w:rPr>
          <w:rFonts w:ascii="Verdana" w:eastAsia="Times New Roman" w:hAnsi="Verdana" w:cs="Times New Roman"/>
          <w:b/>
          <w:bCs/>
          <w:color w:val="1D1D1F"/>
          <w:sz w:val="19"/>
          <w:szCs w:val="19"/>
          <w:lang w:eastAsia="en-AU"/>
        </w:rPr>
      </w:pPr>
      <w:r>
        <w:rPr>
          <w:rFonts w:ascii="Verdana" w:eastAsia="Times New Roman" w:hAnsi="Verdana" w:cs="Times New Roman"/>
          <w:b/>
          <w:bCs/>
          <w:color w:val="1D1D1F"/>
          <w:sz w:val="19"/>
          <w:szCs w:val="19"/>
          <w:lang w:eastAsia="en-AU"/>
        </w:rPr>
        <w:t>Some Common Methods: animations:</w:t>
      </w:r>
    </w:p>
    <w:p w:rsidR="003A4E33" w:rsidRDefault="003A4E33">
      <w:pPr>
        <w:rPr>
          <w:rFonts w:ascii="Verdana" w:eastAsia="Times New Roman" w:hAnsi="Verdana" w:cs="Times New Roman"/>
          <w:b/>
          <w:bCs/>
          <w:color w:val="1D1D1F"/>
          <w:sz w:val="19"/>
          <w:szCs w:val="19"/>
          <w:lang w:eastAsia="en-AU"/>
        </w:rPr>
      </w:pPr>
      <w:r w:rsidRPr="003A4E33">
        <w:rPr>
          <w:rFonts w:ascii="Verdana" w:eastAsia="Times New Roman" w:hAnsi="Verdana" w:cs="Times New Roman"/>
          <w:b/>
          <w:bCs/>
          <w:color w:val="1D1D1F"/>
          <w:sz w:val="19"/>
          <w:szCs w:val="19"/>
          <w:lang w:eastAsia="en-AU"/>
        </w:rPr>
        <w:t>http://www.curriculumsupport.education.nsw.gov.au/vmco/examples.html</w:t>
      </w:r>
      <w:r>
        <w:rPr>
          <w:rFonts w:ascii="Verdana" w:eastAsia="Times New Roman" w:hAnsi="Verdana" w:cs="Times New Roman"/>
          <w:b/>
          <w:bCs/>
          <w:color w:val="1D1D1F"/>
          <w:sz w:val="19"/>
          <w:szCs w:val="19"/>
          <w:lang w:eastAsia="en-AU"/>
        </w:rPr>
        <w:br w:type="page"/>
      </w:r>
    </w:p>
    <w:p w:rsidR="008B365C" w:rsidRPr="008B365C" w:rsidRDefault="008B365C" w:rsidP="008B365C">
      <w:pPr>
        <w:spacing w:before="100" w:beforeAutospacing="1" w:after="100" w:afterAutospacing="1" w:line="240" w:lineRule="auto"/>
        <w:rPr>
          <w:rFonts w:ascii="Verdana" w:eastAsia="Times New Roman" w:hAnsi="Verdana" w:cs="Times New Roman"/>
          <w:color w:val="1D1D1F"/>
          <w:sz w:val="19"/>
          <w:szCs w:val="19"/>
          <w:lang w:eastAsia="en-AU"/>
        </w:rPr>
      </w:pPr>
      <w:r w:rsidRPr="008B365C">
        <w:rPr>
          <w:rFonts w:ascii="Verdana" w:eastAsia="Times New Roman" w:hAnsi="Verdana" w:cs="Times New Roman"/>
          <w:b/>
          <w:bCs/>
          <w:color w:val="1D1D1F"/>
          <w:sz w:val="19"/>
          <w:szCs w:val="19"/>
          <w:lang w:eastAsia="en-AU"/>
        </w:rPr>
        <w:lastRenderedPageBreak/>
        <w:t>The empty number line</w:t>
      </w:r>
    </w:p>
    <w:p w:rsidR="008B365C" w:rsidRPr="008B365C" w:rsidRDefault="008B365C" w:rsidP="008B365C">
      <w:pPr>
        <w:spacing w:before="100" w:beforeAutospacing="1" w:after="100" w:afterAutospacing="1" w:line="240" w:lineRule="auto"/>
        <w:rPr>
          <w:rFonts w:ascii="Verdana" w:eastAsia="Times New Roman" w:hAnsi="Verdana" w:cs="Times New Roman"/>
          <w:color w:val="1D1D1F"/>
          <w:sz w:val="19"/>
          <w:szCs w:val="19"/>
          <w:lang w:eastAsia="en-AU"/>
        </w:rPr>
      </w:pPr>
      <w:r w:rsidRPr="008B365C">
        <w:rPr>
          <w:rFonts w:ascii="Verdana" w:eastAsia="Times New Roman" w:hAnsi="Verdana" w:cs="Times New Roman"/>
          <w:color w:val="1D1D1F"/>
          <w:sz w:val="19"/>
          <w:szCs w:val="19"/>
          <w:lang w:eastAsia="en-AU"/>
        </w:rPr>
        <w:t>New teaching methods are being used as part of the Counting On project across the state. For the first time ever, for many students, the invisible mathematics is starting to become visible. Teaching in the Counting On project emphasises using problems and ways of recording that allow students to share what they are thinking.</w:t>
      </w:r>
    </w:p>
    <w:p w:rsidR="008B365C" w:rsidRPr="008B365C" w:rsidRDefault="008B365C" w:rsidP="008B365C">
      <w:pPr>
        <w:spacing w:before="100" w:beforeAutospacing="1" w:after="100" w:afterAutospacing="1" w:line="240" w:lineRule="auto"/>
        <w:rPr>
          <w:rFonts w:ascii="Verdana" w:eastAsia="Times New Roman" w:hAnsi="Verdana" w:cs="Times New Roman"/>
          <w:color w:val="1D1D1F"/>
          <w:sz w:val="19"/>
          <w:szCs w:val="19"/>
          <w:lang w:eastAsia="en-AU"/>
        </w:rPr>
      </w:pPr>
      <w:r w:rsidRPr="008B365C">
        <w:rPr>
          <w:rFonts w:ascii="Verdana" w:eastAsia="Times New Roman" w:hAnsi="Verdana" w:cs="Times New Roman"/>
          <w:color w:val="1D1D1F"/>
          <w:sz w:val="19"/>
          <w:szCs w:val="19"/>
          <w:lang w:eastAsia="en-AU"/>
        </w:rPr>
        <w:t>Think about adding together two numbers in your head, say 157 and 36. When this addition is carried out mentally, we often start from the left rather than from the right. To get the students to show their thinking, the teachers in the Counting On project have been using an empty number line.</w:t>
      </w:r>
    </w:p>
    <w:p w:rsidR="008B365C" w:rsidRPr="008B365C" w:rsidRDefault="008B365C" w:rsidP="008B365C">
      <w:pPr>
        <w:spacing w:before="100" w:beforeAutospacing="1" w:after="100" w:afterAutospacing="1" w:line="240" w:lineRule="auto"/>
        <w:rPr>
          <w:rFonts w:ascii="Verdana" w:eastAsia="Times New Roman" w:hAnsi="Verdana" w:cs="Times New Roman"/>
          <w:color w:val="1D1D1F"/>
          <w:sz w:val="19"/>
          <w:szCs w:val="19"/>
          <w:lang w:eastAsia="en-AU"/>
        </w:rPr>
      </w:pPr>
      <w:r w:rsidRPr="008B365C">
        <w:rPr>
          <w:rFonts w:ascii="Verdana" w:eastAsia="Times New Roman" w:hAnsi="Verdana" w:cs="Times New Roman"/>
          <w:color w:val="1D1D1F"/>
          <w:sz w:val="19"/>
          <w:szCs w:val="19"/>
          <w:lang w:eastAsia="en-AU"/>
        </w:rPr>
        <w:t>Each student can show how he or she thought about the problem by drawing and filling in an empty number line.</w:t>
      </w:r>
    </w:p>
    <w:p w:rsidR="008B365C" w:rsidRPr="008B365C" w:rsidRDefault="008B365C" w:rsidP="008B365C">
      <w:pPr>
        <w:spacing w:before="100" w:beforeAutospacing="1" w:after="100" w:afterAutospacing="1" w:line="240" w:lineRule="auto"/>
        <w:rPr>
          <w:rFonts w:ascii="Verdana" w:eastAsia="Times New Roman" w:hAnsi="Verdana" w:cs="Times New Roman"/>
          <w:color w:val="1D1D1F"/>
          <w:sz w:val="19"/>
          <w:szCs w:val="19"/>
          <w:lang w:eastAsia="en-AU"/>
        </w:rPr>
      </w:pPr>
      <w:r w:rsidRPr="008B365C">
        <w:rPr>
          <w:rFonts w:ascii="Verdana" w:eastAsia="Times New Roman" w:hAnsi="Verdana" w:cs="Times New Roman"/>
          <w:color w:val="1D1D1F"/>
          <w:sz w:val="19"/>
          <w:szCs w:val="19"/>
          <w:lang w:eastAsia="en-AU"/>
        </w:rPr>
        <w:t xml:space="preserve">                                               </w:t>
      </w:r>
      <w:r>
        <w:rPr>
          <w:rFonts w:ascii="Verdana" w:eastAsia="Times New Roman" w:hAnsi="Verdana" w:cs="Times New Roman"/>
          <w:noProof/>
          <w:color w:val="1D1D1F"/>
          <w:sz w:val="19"/>
          <w:szCs w:val="19"/>
          <w:lang w:eastAsia="en-AU"/>
        </w:rPr>
        <w:drawing>
          <wp:inline distT="0" distB="0" distL="0" distR="0">
            <wp:extent cx="1257300" cy="781050"/>
            <wp:effectExtent l="19050" t="0" r="0" b="0"/>
            <wp:docPr id="7" name="Picture 7" descr="Number line showing 30 an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umber line showing 30 and 6"/>
                    <pic:cNvPicPr>
                      <a:picLocks noChangeAspect="1" noChangeArrowheads="1"/>
                    </pic:cNvPicPr>
                  </pic:nvPicPr>
                  <pic:blipFill>
                    <a:blip r:embed="rId9" cstate="print"/>
                    <a:srcRect/>
                    <a:stretch>
                      <a:fillRect/>
                    </a:stretch>
                  </pic:blipFill>
                  <pic:spPr bwMode="auto">
                    <a:xfrm>
                      <a:off x="0" y="0"/>
                      <a:ext cx="1257300" cy="781050"/>
                    </a:xfrm>
                    <a:prstGeom prst="rect">
                      <a:avLst/>
                    </a:prstGeom>
                    <a:noFill/>
                    <a:ln w="9525">
                      <a:noFill/>
                      <a:miter lim="800000"/>
                      <a:headEnd/>
                      <a:tailEnd/>
                    </a:ln>
                  </pic:spPr>
                </pic:pic>
              </a:graphicData>
            </a:graphic>
          </wp:inline>
        </w:drawing>
      </w:r>
      <w:r w:rsidRPr="008B365C">
        <w:rPr>
          <w:rFonts w:ascii="Verdana" w:eastAsia="Times New Roman" w:hAnsi="Verdana" w:cs="Times New Roman"/>
          <w:color w:val="1D1D1F"/>
          <w:sz w:val="19"/>
          <w:szCs w:val="19"/>
          <w:lang w:eastAsia="en-AU"/>
        </w:rPr>
        <w:br/>
        <w:t>                                        A number line showing 30 and 6 </w:t>
      </w:r>
      <w:r w:rsidRPr="008B365C">
        <w:rPr>
          <w:rFonts w:ascii="Verdana" w:eastAsia="Times New Roman" w:hAnsi="Verdana" w:cs="Times New Roman"/>
          <w:color w:val="1D1D1F"/>
          <w:sz w:val="19"/>
          <w:szCs w:val="19"/>
          <w:lang w:eastAsia="en-AU"/>
        </w:rPr>
        <w:br/>
        <w:t> </w:t>
      </w:r>
    </w:p>
    <w:p w:rsidR="008B365C" w:rsidRPr="008B365C" w:rsidRDefault="008B365C" w:rsidP="008B365C">
      <w:pPr>
        <w:spacing w:before="100" w:beforeAutospacing="1" w:after="100" w:afterAutospacing="1" w:line="240" w:lineRule="auto"/>
        <w:rPr>
          <w:rFonts w:ascii="Verdana" w:eastAsia="Times New Roman" w:hAnsi="Verdana" w:cs="Times New Roman"/>
          <w:color w:val="1D1D1F"/>
          <w:sz w:val="19"/>
          <w:szCs w:val="19"/>
          <w:lang w:eastAsia="en-AU"/>
        </w:rPr>
      </w:pPr>
      <w:r w:rsidRPr="008B365C">
        <w:rPr>
          <w:rFonts w:ascii="Verdana" w:eastAsia="Times New Roman" w:hAnsi="Verdana" w:cs="Times New Roman"/>
          <w:color w:val="1D1D1F"/>
          <w:sz w:val="19"/>
          <w:szCs w:val="19"/>
          <w:lang w:eastAsia="en-AU"/>
        </w:rPr>
        <w:br/>
        <w:t>One of the interesting things about mental calculations is that we do not all think the same way. Some people start by breaking the 36 into 33 and 3. This turns the question into the problem of adding 33 to 160. </w:t>
      </w:r>
      <w:r w:rsidRPr="008B365C">
        <w:rPr>
          <w:rFonts w:ascii="Verdana" w:eastAsia="Times New Roman" w:hAnsi="Verdana" w:cs="Times New Roman"/>
          <w:color w:val="1D1D1F"/>
          <w:sz w:val="19"/>
          <w:szCs w:val="19"/>
          <w:lang w:eastAsia="en-AU"/>
        </w:rPr>
        <w:br/>
        <w:t> </w:t>
      </w:r>
      <w:r w:rsidRPr="008B365C">
        <w:rPr>
          <w:rFonts w:ascii="Verdana" w:eastAsia="Times New Roman" w:hAnsi="Verdana" w:cs="Times New Roman"/>
          <w:color w:val="1D1D1F"/>
          <w:sz w:val="19"/>
          <w:szCs w:val="19"/>
          <w:lang w:eastAsia="en-AU"/>
        </w:rPr>
        <w:br/>
        <w:t>                                               </w:t>
      </w:r>
      <w:r>
        <w:rPr>
          <w:rFonts w:ascii="Verdana" w:eastAsia="Times New Roman" w:hAnsi="Verdana" w:cs="Times New Roman"/>
          <w:noProof/>
          <w:color w:val="1D1D1F"/>
          <w:sz w:val="19"/>
          <w:szCs w:val="19"/>
          <w:lang w:eastAsia="en-AU"/>
        </w:rPr>
        <w:drawing>
          <wp:inline distT="0" distB="0" distL="0" distR="0">
            <wp:extent cx="1257300" cy="781050"/>
            <wp:effectExtent l="19050" t="0" r="0" b="0"/>
            <wp:docPr id="8" name="Picture 8" descr="Number line showing adding 3 and th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umber line showing adding 3 and then 33"/>
                    <pic:cNvPicPr>
                      <a:picLocks noChangeAspect="1" noChangeArrowheads="1"/>
                    </pic:cNvPicPr>
                  </pic:nvPicPr>
                  <pic:blipFill>
                    <a:blip r:embed="rId10" cstate="print"/>
                    <a:srcRect/>
                    <a:stretch>
                      <a:fillRect/>
                    </a:stretch>
                  </pic:blipFill>
                  <pic:spPr bwMode="auto">
                    <a:xfrm>
                      <a:off x="0" y="0"/>
                      <a:ext cx="1257300" cy="781050"/>
                    </a:xfrm>
                    <a:prstGeom prst="rect">
                      <a:avLst/>
                    </a:prstGeom>
                    <a:noFill/>
                    <a:ln w="9525">
                      <a:noFill/>
                      <a:miter lim="800000"/>
                      <a:headEnd/>
                      <a:tailEnd/>
                    </a:ln>
                  </pic:spPr>
                </pic:pic>
              </a:graphicData>
            </a:graphic>
          </wp:inline>
        </w:drawing>
      </w:r>
      <w:r w:rsidRPr="008B365C">
        <w:rPr>
          <w:rFonts w:ascii="Verdana" w:eastAsia="Times New Roman" w:hAnsi="Verdana" w:cs="Times New Roman"/>
          <w:color w:val="1D1D1F"/>
          <w:sz w:val="19"/>
          <w:szCs w:val="19"/>
          <w:lang w:eastAsia="en-AU"/>
        </w:rPr>
        <w:t>  </w:t>
      </w:r>
      <w:r w:rsidRPr="008B365C">
        <w:rPr>
          <w:rFonts w:ascii="Verdana" w:eastAsia="Times New Roman" w:hAnsi="Verdana" w:cs="Times New Roman"/>
          <w:color w:val="1D1D1F"/>
          <w:sz w:val="19"/>
          <w:szCs w:val="19"/>
          <w:lang w:eastAsia="en-AU"/>
        </w:rPr>
        <w:br/>
        <w:t>                                 A number line showing adding 3 and then 33 </w:t>
      </w:r>
    </w:p>
    <w:p w:rsidR="008B365C" w:rsidRDefault="008B365C">
      <w:r w:rsidRPr="008B365C">
        <w:t>http://www.curriculumsupport.education.nsw.gov.au/secondary/mathematics/numeracy/countingon/index.htm</w:t>
      </w:r>
    </w:p>
    <w:sectPr w:rsidR="008B365C" w:rsidSect="00354F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altName w:val="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C3B76"/>
    <w:multiLevelType w:val="multilevel"/>
    <w:tmpl w:val="B27CE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3F55DB"/>
    <w:multiLevelType w:val="multilevel"/>
    <w:tmpl w:val="DE2E2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D5429DE"/>
    <w:multiLevelType w:val="multilevel"/>
    <w:tmpl w:val="D972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B365C"/>
    <w:rsid w:val="00100F1E"/>
    <w:rsid w:val="00354F9B"/>
    <w:rsid w:val="003A4E33"/>
    <w:rsid w:val="008B365C"/>
    <w:rsid w:val="00DE5EE5"/>
    <w:rsid w:val="00FD12E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next w:val="Normal"/>
    <w:link w:val="Heading1Char"/>
    <w:uiPriority w:val="9"/>
    <w:qFormat/>
    <w:rsid w:val="008B3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B365C"/>
    <w:pPr>
      <w:spacing w:before="100" w:beforeAutospacing="1" w:after="100" w:afterAutospacing="1" w:line="240" w:lineRule="auto"/>
      <w:outlineLvl w:val="1"/>
    </w:pPr>
    <w:rPr>
      <w:rFonts w:ascii="Times New Roman" w:eastAsia="Times New Roman" w:hAnsi="Times New Roman" w:cs="Times New Roman"/>
      <w:b/>
      <w:bCs/>
      <w:color w:val="003366"/>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365C"/>
    <w:rPr>
      <w:rFonts w:ascii="Times New Roman" w:eastAsia="Times New Roman" w:hAnsi="Times New Roman" w:cs="Times New Roman"/>
      <w:b/>
      <w:bCs/>
      <w:color w:val="003366"/>
      <w:sz w:val="36"/>
      <w:szCs w:val="36"/>
      <w:lang w:eastAsia="en-AU"/>
    </w:rPr>
  </w:style>
  <w:style w:type="paragraph" w:styleId="NormalWeb">
    <w:name w:val="Normal (Web)"/>
    <w:basedOn w:val="Normal"/>
    <w:uiPriority w:val="99"/>
    <w:semiHidden/>
    <w:unhideWhenUsed/>
    <w:rsid w:val="008B365C"/>
    <w:pPr>
      <w:spacing w:before="100" w:beforeAutospacing="1" w:after="100" w:afterAutospacing="1" w:line="240" w:lineRule="auto"/>
    </w:pPr>
    <w:rPr>
      <w:rFonts w:ascii="Times New Roman" w:eastAsia="Times New Roman" w:hAnsi="Times New Roman" w:cs="Times New Roman"/>
      <w:color w:val="003366"/>
      <w:sz w:val="24"/>
      <w:szCs w:val="24"/>
      <w:lang w:eastAsia="en-AU"/>
    </w:rPr>
  </w:style>
  <w:style w:type="character" w:customStyle="1" w:styleId="Heading1Char">
    <w:name w:val="Heading 1 Char"/>
    <w:basedOn w:val="DefaultParagraphFont"/>
    <w:link w:val="Heading1"/>
    <w:uiPriority w:val="9"/>
    <w:rsid w:val="008B365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8B3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65C"/>
    <w:rPr>
      <w:rFonts w:ascii="Tahoma" w:hAnsi="Tahoma" w:cs="Tahoma"/>
      <w:sz w:val="16"/>
      <w:szCs w:val="16"/>
    </w:rPr>
  </w:style>
  <w:style w:type="character" w:styleId="Hyperlink">
    <w:name w:val="Hyperlink"/>
    <w:basedOn w:val="DefaultParagraphFont"/>
    <w:uiPriority w:val="99"/>
    <w:unhideWhenUsed/>
    <w:rsid w:val="008B36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9914723">
      <w:bodyDiv w:val="1"/>
      <w:marLeft w:val="67"/>
      <w:marRight w:val="0"/>
      <w:marTop w:val="0"/>
      <w:marBottom w:val="720"/>
      <w:divBdr>
        <w:top w:val="none" w:sz="0" w:space="0" w:color="auto"/>
        <w:left w:val="none" w:sz="0" w:space="0" w:color="auto"/>
        <w:bottom w:val="none" w:sz="0" w:space="0" w:color="auto"/>
        <w:right w:val="none" w:sz="0" w:space="0" w:color="auto"/>
      </w:divBdr>
      <w:divsChild>
        <w:div w:id="1807241696">
          <w:marLeft w:val="0"/>
          <w:marRight w:val="0"/>
          <w:marTop w:val="0"/>
          <w:marBottom w:val="0"/>
          <w:divBdr>
            <w:top w:val="none" w:sz="0" w:space="0" w:color="auto"/>
            <w:left w:val="none" w:sz="0" w:space="0" w:color="auto"/>
            <w:bottom w:val="none" w:sz="0" w:space="0" w:color="auto"/>
            <w:right w:val="none" w:sz="0" w:space="0" w:color="auto"/>
          </w:divBdr>
          <w:divsChild>
            <w:div w:id="44644959">
              <w:marLeft w:val="78"/>
              <w:marRight w:val="0"/>
              <w:marTop w:val="0"/>
              <w:marBottom w:val="0"/>
              <w:divBdr>
                <w:top w:val="none" w:sz="0" w:space="0" w:color="auto"/>
                <w:left w:val="none" w:sz="0" w:space="0" w:color="auto"/>
                <w:bottom w:val="none" w:sz="0" w:space="0" w:color="auto"/>
                <w:right w:val="none" w:sz="0" w:space="0" w:color="auto"/>
              </w:divBdr>
              <w:divsChild>
                <w:div w:id="706295929">
                  <w:marLeft w:val="480"/>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rriculumsupport.education.nsw.gov.au/secondary/mathematics/numeracy/mental/index.htm"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1</cp:revision>
  <dcterms:created xsi:type="dcterms:W3CDTF">2012-01-25T04:15:00Z</dcterms:created>
  <dcterms:modified xsi:type="dcterms:W3CDTF">2012-01-25T04:28:00Z</dcterms:modified>
</cp:coreProperties>
</file>